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16" w:rsidRPr="002A06A0" w:rsidRDefault="00944616" w:rsidP="00944616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5C5D8B66" wp14:editId="0BB9A904">
            <wp:simplePos x="0" y="0"/>
            <wp:positionH relativeFrom="column">
              <wp:posOffset>-399415</wp:posOffset>
            </wp:positionH>
            <wp:positionV relativeFrom="paragraph">
              <wp:posOffset>-647700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616" w:rsidRPr="002A06A0" w:rsidRDefault="00944616" w:rsidP="00944616">
      <w:pPr>
        <w:spacing w:after="200" w:line="276" w:lineRule="auto"/>
        <w:rPr>
          <w:rFonts w:ascii="Calibri" w:eastAsia="Times New Roman" w:hAnsi="Calibri" w:cs="Calibri"/>
        </w:rPr>
      </w:pPr>
    </w:p>
    <w:p w:rsidR="00944616" w:rsidRPr="002A06A0" w:rsidRDefault="00944616" w:rsidP="00944616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944616" w:rsidRPr="002A06A0" w:rsidRDefault="00944616" w:rsidP="00944616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944616" w:rsidRPr="002A06A0" w:rsidRDefault="00944616" w:rsidP="00944616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944616" w:rsidRPr="002A06A0" w:rsidRDefault="00944616" w:rsidP="009446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944616" w:rsidRPr="002A06A0" w:rsidRDefault="00944616" w:rsidP="009446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944616" w:rsidRPr="002A06A0" w:rsidRDefault="00944616" w:rsidP="009446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944616" w:rsidRPr="002A06A0" w:rsidRDefault="00944616" w:rsidP="009446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944616" w:rsidRPr="002A06A0" w:rsidRDefault="00944616" w:rsidP="009446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4616" w:rsidRPr="002A06A0" w:rsidRDefault="00944616" w:rsidP="009446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276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данък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върху превозните средства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Веселин Янков Илиев.</w:t>
      </w:r>
    </w:p>
    <w:p w:rsidR="00944616" w:rsidRPr="002A06A0" w:rsidRDefault="00944616" w:rsidP="009446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944616" w:rsidRPr="002A06A0" w:rsidRDefault="00944616" w:rsidP="009446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944616" w:rsidRPr="002A06A0" w:rsidRDefault="00944616" w:rsidP="009446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</w:t>
      </w:r>
      <w:r>
        <w:rPr>
          <w:rFonts w:ascii="Times New Roman" w:eastAsia="Times New Roman" w:hAnsi="Times New Roman" w:cs="Times New Roman"/>
          <w:sz w:val="28"/>
          <w:szCs w:val="28"/>
        </w:rPr>
        <w:t>ал.3 от ДОПК №103-1/10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276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  ще се приложи към преписката и ще се смята за редовно връчен.</w:t>
      </w:r>
    </w:p>
    <w:p w:rsidR="00944616" w:rsidRDefault="00944616" w:rsidP="0094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944616" w:rsidRPr="002A06A0" w:rsidRDefault="00944616" w:rsidP="0094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944616" w:rsidRPr="002A06A0" w:rsidRDefault="00944616" w:rsidP="0094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44616" w:rsidRPr="002A06A0" w:rsidRDefault="00944616" w:rsidP="0094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05.04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№355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05.04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103-1/10.05.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r w:rsidRPr="002A06A0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и </w:t>
      </w:r>
      <w:r w:rsidRPr="00A74697">
        <w:rPr>
          <w:rFonts w:ascii="Times New Roman" w:eastAsia="Times New Roman" w:hAnsi="Times New Roman" w:cs="Times New Roman"/>
        </w:rPr>
        <w:t>Акт за установяване на задължение по чл.107, ал.3 от ДОПК № 276-1/10.08.2023г.</w:t>
      </w: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103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10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 w:rsidRPr="002A06A0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и </w:t>
      </w:r>
      <w:r w:rsidRPr="00A74697">
        <w:rPr>
          <w:rFonts w:ascii="Times New Roman" w:eastAsia="Times New Roman" w:hAnsi="Times New Roman" w:cs="Times New Roman"/>
        </w:rPr>
        <w:t>Акт за установяване на задължение по чл.107, ал.3 от ДОПК № 276-1/10</w:t>
      </w:r>
      <w:r w:rsidRPr="00A74697">
        <w:rPr>
          <w:rFonts w:ascii="Times New Roman" w:eastAsia="Times New Roman" w:hAnsi="Times New Roman" w:cs="Times New Roman"/>
          <w:lang w:val="en-US"/>
        </w:rPr>
        <w:t>.</w:t>
      </w:r>
      <w:r w:rsidRPr="00A74697">
        <w:rPr>
          <w:rFonts w:ascii="Times New Roman" w:eastAsia="Times New Roman" w:hAnsi="Times New Roman" w:cs="Times New Roman"/>
        </w:rPr>
        <w:t xml:space="preserve">08.2023г. </w:t>
      </w:r>
      <w:r w:rsidRPr="002A06A0">
        <w:rPr>
          <w:rFonts w:ascii="Times New Roman" w:eastAsia="Times New Roman" w:hAnsi="Times New Roman" w:cs="Times New Roman"/>
        </w:rPr>
        <w:t xml:space="preserve"> се прилага към преписката и се смята за редовно връчен.</w:t>
      </w: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44616" w:rsidRPr="002A06A0" w:rsidRDefault="00944616" w:rsidP="00944616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E3B00" w:rsidRDefault="00AE3B00">
      <w:bookmarkStart w:id="0" w:name="_GoBack"/>
      <w:bookmarkEnd w:id="0"/>
    </w:p>
    <w:sectPr w:rsidR="00AE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16"/>
    <w:rsid w:val="00944616"/>
    <w:rsid w:val="00A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377B-D358-4989-ADF0-82BD1F4E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Velina-PC</cp:lastModifiedBy>
  <cp:revision>1</cp:revision>
  <dcterms:created xsi:type="dcterms:W3CDTF">2024-04-04T09:47:00Z</dcterms:created>
  <dcterms:modified xsi:type="dcterms:W3CDTF">2024-04-04T09:48:00Z</dcterms:modified>
</cp:coreProperties>
</file>